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4">
      <w:pPr>
        <w:spacing w:after="0" w:lineRule="auto"/>
        <w:ind w:left="0" w:hanging="567"/>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spacing w:after="120" w:before="240" w:lineRule="auto"/>
        <w:ind w:left="0" w:hanging="567"/>
        <w:rPr>
          <w:b w:val="1"/>
          <w:smallCaps w:val="1"/>
          <w:sz w:val="24"/>
          <w:szCs w:val="24"/>
        </w:rPr>
      </w:pPr>
      <w:r w:rsidDel="00000000" w:rsidR="00000000" w:rsidRPr="00000000">
        <w:rPr>
          <w:b w:val="1"/>
          <w:color w:val="000000"/>
          <w:sz w:val="36"/>
          <w:szCs w:val="36"/>
          <w:rtl w:val="0"/>
        </w:rPr>
        <w:t xml:space="preserve">Call-Off Schedule 9 (Security)</w:t>
      </w:r>
      <w:r w:rsidDel="00000000" w:rsidR="00000000" w:rsidRPr="00000000">
        <w:rPr>
          <w:rtl w:val="0"/>
        </w:rPr>
      </w:r>
    </w:p>
    <w:p w:rsidR="00000000" w:rsidDel="00000000" w:rsidP="00000000" w:rsidRDefault="00000000" w:rsidRPr="00000000" w14:paraId="00000006">
      <w:pPr>
        <w:tabs>
          <w:tab w:val="left" w:pos="0"/>
        </w:tabs>
        <w:spacing w:before="240" w:lineRule="auto"/>
        <w:ind w:left="0" w:firstLine="0"/>
        <w:jc w:val="left"/>
        <w:rPr/>
      </w:pPr>
      <w:r w:rsidDel="00000000" w:rsidR="00000000" w:rsidRPr="00000000">
        <w:rPr>
          <w:b w:val="1"/>
          <w:color w:val="000000"/>
          <w:sz w:val="36"/>
          <w:szCs w:val="36"/>
          <w:rtl w:val="0"/>
        </w:rPr>
        <w:t xml:space="preserve">Part B: Long Form Security Requirements</w:t>
      </w:r>
      <w:r w:rsidDel="00000000" w:rsidR="00000000" w:rsidRPr="00000000">
        <w:rPr>
          <w:rtl w:val="0"/>
        </w:rPr>
      </w:r>
    </w:p>
    <w:p w:rsidR="00000000" w:rsidDel="00000000" w:rsidP="00000000" w:rsidRDefault="00000000" w:rsidRPr="00000000" w14:paraId="00000007">
      <w:pPr>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8">
      <w:pPr>
        <w:keepNext w:val="1"/>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031.0" w:type="dxa"/>
        <w:jc w:val="left"/>
        <w:tblInd w:w="1008.0" w:type="dxa"/>
        <w:tblBorders>
          <w:top w:color="000000" w:space="0" w:sz="24" w:val="single"/>
          <w:left w:color="000000" w:space="0" w:sz="24" w:val="single"/>
          <w:bottom w:color="000000" w:space="0" w:sz="6" w:val="single"/>
          <w:right w:color="000000" w:space="0" w:sz="6" w:val="single"/>
          <w:insideH w:color="000000" w:space="0" w:sz="6" w:val="single"/>
          <w:insideV w:color="000000" w:space="0" w:sz="6" w:val="single"/>
        </w:tblBorders>
        <w:tblLayout w:type="fixed"/>
        <w:tblLook w:val="0000"/>
      </w:tblPr>
      <w:tblGrid>
        <w:gridCol w:w="2250"/>
        <w:gridCol w:w="5781"/>
        <w:tblGridChange w:id="0">
          <w:tblGrid>
            <w:gridCol w:w="2250"/>
            <w:gridCol w:w="5781"/>
          </w:tblGrid>
        </w:tblGridChange>
      </w:tblGrid>
      <w:tr>
        <w:trPr>
          <w:cantSplit w:val="0"/>
          <w:tblHeader w:val="0"/>
        </w:trPr>
        <w:tc>
          <w:tcPr>
            <w:tcBorders>
              <w:top w:color="000000" w:space="0" w:sz="24" w:val="single"/>
              <w:left w:color="000000" w:space="0" w:sz="24" w:val="single"/>
              <w:bottom w:color="000000" w:space="0" w:sz="6" w:val="single"/>
              <w:right w:color="000000" w:space="0" w:sz="6" w:val="single"/>
            </w:tcBorders>
            <w:shd w:fill="auto" w:val="clear"/>
          </w:tcPr>
          <w:p w:rsidR="00000000" w:rsidDel="00000000" w:rsidP="00000000" w:rsidRDefault="00000000" w:rsidRPr="00000000" w14:paraId="00000009">
            <w:pPr>
              <w:spacing w:after="120" w:lineRule="auto"/>
              <w:ind w:left="-108" w:firstLine="108"/>
              <w:jc w:val="left"/>
              <w:rPr>
                <w:sz w:val="24"/>
                <w:szCs w:val="24"/>
              </w:rPr>
            </w:pPr>
            <w:r w:rsidDel="00000000" w:rsidR="00000000" w:rsidRPr="00000000">
              <w:rPr>
                <w:sz w:val="24"/>
                <w:szCs w:val="24"/>
                <w:rtl w:val="0"/>
              </w:rPr>
              <w:t xml:space="preserve">"Breach of Security"</w:t>
            </w:r>
          </w:p>
        </w:tc>
        <w:tc>
          <w:tcPr>
            <w:tcBorders>
              <w:top w:color="000000" w:space="0" w:sz="24" w:val="single"/>
              <w:left w:color="000000" w:space="0" w:sz="6" w:val="single"/>
              <w:bottom w:color="000000" w:space="0" w:sz="6" w:val="single"/>
              <w:right w:color="000000" w:space="0" w:sz="24" w:val="single"/>
            </w:tcBorders>
            <w:shd w:fill="auto" w:val="clear"/>
          </w:tcPr>
          <w:p w:rsidR="00000000" w:rsidDel="00000000" w:rsidP="00000000" w:rsidRDefault="00000000" w:rsidRPr="00000000" w14:paraId="0000000A">
            <w:pPr>
              <w:numPr>
                <w:ilvl w:val="0"/>
                <w:numId w:val="3"/>
              </w:numPr>
              <w:tabs>
                <w:tab w:val="left" w:pos="-9"/>
              </w:tabs>
              <w:spacing w:after="120" w:lineRule="auto"/>
              <w:ind w:left="170" w:hanging="170"/>
              <w:jc w:val="left"/>
              <w:rPr/>
            </w:pPr>
            <w:r w:rsidDel="00000000" w:rsidR="00000000" w:rsidRPr="00000000">
              <w:rPr>
                <w:sz w:val="24"/>
                <w:szCs w:val="24"/>
                <w:rtl w:val="0"/>
              </w:rPr>
              <w:t xml:space="preserve">- means the occurrence of:</w:t>
            </w:r>
            <w:r w:rsidDel="00000000" w:rsidR="00000000" w:rsidRPr="00000000">
              <w:rPr>
                <w:rtl w:val="0"/>
              </w:rPr>
            </w:r>
          </w:p>
          <w:p w:rsidR="00000000" w:rsidDel="00000000" w:rsidP="00000000" w:rsidRDefault="00000000" w:rsidRPr="00000000" w14:paraId="0000000B">
            <w:pPr>
              <w:numPr>
                <w:ilvl w:val="1"/>
                <w:numId w:val="3"/>
              </w:numPr>
              <w:tabs>
                <w:tab w:val="left" w:pos="144"/>
              </w:tabs>
              <w:spacing w:after="120" w:lineRule="auto"/>
              <w:ind w:left="720" w:hanging="360"/>
              <w:jc w:val="left"/>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C">
            <w:pPr>
              <w:numPr>
                <w:ilvl w:val="1"/>
                <w:numId w:val="3"/>
              </w:numPr>
              <w:tabs>
                <w:tab w:val="left" w:pos="144"/>
              </w:tabs>
              <w:spacing w:after="120" w:lineRule="auto"/>
              <w:ind w:left="720" w:hanging="360"/>
              <w:jc w:val="left"/>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D">
            <w:pPr>
              <w:numPr>
                <w:ilvl w:val="0"/>
                <w:numId w:val="3"/>
              </w:numPr>
              <w:tabs>
                <w:tab w:val="left" w:pos="-9"/>
              </w:tabs>
              <w:spacing w:after="120" w:lineRule="auto"/>
              <w:ind w:left="170" w:hanging="170"/>
              <w:jc w:val="left"/>
              <w:rPr/>
            </w:pPr>
            <w:r w:rsidDel="00000000" w:rsidR="00000000" w:rsidRPr="00000000">
              <w:rPr>
                <w:sz w:val="24"/>
                <w:szCs w:val="24"/>
                <w:rtl w:val="0"/>
              </w:rPr>
              <w:t xml:space="preserve">- in either case as more particularly set out in the security requirements in the Security Policy where the Buyer has required compliance therewith in accordance with paragraph 3.4.3 d;</w:t>
            </w:r>
            <w:r w:rsidDel="00000000" w:rsidR="00000000" w:rsidRPr="00000000">
              <w:rPr>
                <w:rtl w:val="0"/>
              </w:rPr>
            </w:r>
          </w:p>
        </w:tc>
      </w:tr>
      <w:tr>
        <w:trPr>
          <w:cantSplit w:val="0"/>
          <w:tblHeader w:val="0"/>
        </w:trPr>
        <w:tc>
          <w:tcPr>
            <w:tcBorders>
              <w:top w:color="000000" w:space="0" w:sz="6" w:val="single"/>
              <w:left w:color="000000" w:space="0" w:sz="24" w:val="single"/>
              <w:bottom w:color="000000" w:space="0" w:sz="6" w:val="single"/>
              <w:right w:color="000000" w:space="0" w:sz="6" w:val="single"/>
            </w:tcBorders>
            <w:shd w:fill="auto" w:val="clear"/>
          </w:tcPr>
          <w:p w:rsidR="00000000" w:rsidDel="00000000" w:rsidP="00000000" w:rsidRDefault="00000000" w:rsidRPr="00000000" w14:paraId="0000000E">
            <w:pPr>
              <w:spacing w:after="120" w:lineRule="auto"/>
              <w:ind w:left="-108" w:firstLine="108"/>
              <w:jc w:val="left"/>
              <w:rPr>
                <w:sz w:val="24"/>
                <w:szCs w:val="24"/>
              </w:rPr>
            </w:pPr>
            <w:r w:rsidDel="00000000" w:rsidR="00000000" w:rsidRPr="00000000">
              <w:rPr>
                <w:sz w:val="24"/>
                <w:szCs w:val="24"/>
                <w:rtl w:val="0"/>
              </w:rPr>
              <w:t xml:space="preserve">"ISMS"</w:t>
            </w:r>
          </w:p>
        </w:tc>
        <w:tc>
          <w:tcPr>
            <w:tcBorders>
              <w:top w:color="000000" w:space="0" w:sz="6" w:val="single"/>
              <w:left w:color="000000" w:space="0" w:sz="6" w:val="single"/>
              <w:bottom w:color="000000" w:space="0" w:sz="6" w:val="single"/>
              <w:right w:color="000000" w:space="0" w:sz="24" w:val="single"/>
            </w:tcBorders>
            <w:shd w:fill="auto" w:val="clear"/>
          </w:tcPr>
          <w:p w:rsidR="00000000" w:rsidDel="00000000" w:rsidP="00000000" w:rsidRDefault="00000000" w:rsidRPr="00000000" w14:paraId="0000000F">
            <w:pPr>
              <w:numPr>
                <w:ilvl w:val="0"/>
                <w:numId w:val="3"/>
              </w:numPr>
              <w:tabs>
                <w:tab w:val="left" w:pos="-9"/>
              </w:tabs>
              <w:spacing w:after="120" w:lineRule="auto"/>
              <w:ind w:left="170" w:hanging="170"/>
              <w:jc w:val="left"/>
              <w:rPr/>
            </w:pPr>
            <w:r w:rsidDel="00000000" w:rsidR="00000000" w:rsidRPr="00000000">
              <w:rPr>
                <w:sz w:val="24"/>
                <w:szCs w:val="24"/>
                <w:rtl w:val="0"/>
              </w:rPr>
              <w:t xml:space="preserve">- the information security management system and process developed by the Supplier in accordance with Paragraph 3 (ISMS) as updated from time to time in accordance with this Schedule; and</w:t>
            </w:r>
            <w:r w:rsidDel="00000000" w:rsidR="00000000" w:rsidRPr="00000000">
              <w:rPr>
                <w:rtl w:val="0"/>
              </w:rPr>
            </w:r>
          </w:p>
        </w:tc>
      </w:tr>
      <w:tr>
        <w:trPr>
          <w:cantSplit w:val="0"/>
          <w:tblHeader w:val="0"/>
        </w:trPr>
        <w:tc>
          <w:tcPr>
            <w:tcBorders>
              <w:top w:color="000000" w:space="0" w:sz="6" w:val="single"/>
              <w:left w:color="000000" w:space="0" w:sz="24" w:val="single"/>
              <w:bottom w:color="000000" w:space="0" w:sz="24" w:val="single"/>
              <w:right w:color="000000" w:space="0" w:sz="6" w:val="single"/>
            </w:tcBorders>
            <w:shd w:fill="auto" w:val="clear"/>
          </w:tcPr>
          <w:p w:rsidR="00000000" w:rsidDel="00000000" w:rsidP="00000000" w:rsidRDefault="00000000" w:rsidRPr="00000000" w14:paraId="00000010">
            <w:pPr>
              <w:spacing w:after="120" w:lineRule="auto"/>
              <w:ind w:left="-108" w:firstLine="108"/>
              <w:jc w:val="left"/>
              <w:rPr>
                <w:sz w:val="24"/>
                <w:szCs w:val="24"/>
              </w:rPr>
            </w:pPr>
            <w:r w:rsidDel="00000000" w:rsidR="00000000" w:rsidRPr="00000000">
              <w:rPr>
                <w:sz w:val="24"/>
                <w:szCs w:val="24"/>
                <w:rtl w:val="0"/>
              </w:rPr>
              <w:t xml:space="preserve">"Security Tests"</w:t>
            </w:r>
          </w:p>
        </w:tc>
        <w:tc>
          <w:tcPr>
            <w:tcBorders>
              <w:top w:color="000000" w:space="0" w:sz="6" w:val="single"/>
              <w:left w:color="000000" w:space="0" w:sz="6" w:val="single"/>
              <w:bottom w:color="000000" w:space="0" w:sz="24" w:val="single"/>
              <w:right w:color="000000" w:space="0" w:sz="24" w:val="single"/>
            </w:tcBorders>
            <w:shd w:fill="auto" w:val="clear"/>
          </w:tcPr>
          <w:p w:rsidR="00000000" w:rsidDel="00000000" w:rsidP="00000000" w:rsidRDefault="00000000" w:rsidRPr="00000000" w14:paraId="00000011">
            <w:pPr>
              <w:numPr>
                <w:ilvl w:val="0"/>
                <w:numId w:val="3"/>
              </w:numPr>
              <w:tabs>
                <w:tab w:val="left" w:pos="-9"/>
              </w:tabs>
              <w:spacing w:after="120" w:lineRule="auto"/>
              <w:ind w:left="170" w:hanging="170"/>
              <w:jc w:val="left"/>
              <w:rPr/>
            </w:pPr>
            <w:r w:rsidDel="00000000" w:rsidR="00000000" w:rsidRPr="00000000">
              <w:rPr>
                <w:sz w:val="24"/>
                <w:szCs w:val="24"/>
                <w:rtl w:val="0"/>
              </w:rPr>
              <w:t xml:space="preserve">- tests to validate the ISMS and security of all relevant processes, systems, incident response plans, patches to vulnerabilities and mitigations to Breaches of Security.</w:t>
            </w:r>
            <w:r w:rsidDel="00000000" w:rsidR="00000000" w:rsidRPr="00000000">
              <w:rPr>
                <w:rtl w:val="0"/>
              </w:rPr>
            </w:r>
          </w:p>
        </w:tc>
      </w:tr>
    </w:tbl>
    <w:p w:rsidR="00000000" w:rsidDel="00000000" w:rsidP="00000000" w:rsidRDefault="00000000" w:rsidRPr="00000000" w14:paraId="00000012">
      <w:pPr>
        <w:keepNext w:val="1"/>
        <w:numPr>
          <w:ilvl w:val="0"/>
          <w:numId w:val="1"/>
        </w:numPr>
        <w:tabs>
          <w:tab w:val="left" w:pos="0"/>
        </w:tabs>
        <w:spacing w:before="240" w:lineRule="auto"/>
        <w:ind w:left="360" w:hanging="360"/>
        <w:jc w:val="left"/>
        <w:rPr/>
      </w:pPr>
      <w:bookmarkStart w:colFirst="0" w:colLast="0" w:name="_heading=h.30j0zll" w:id="1"/>
      <w:bookmarkEnd w:id="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3">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4">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15">
      <w:pPr>
        <w:keepNext w:val="1"/>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16">
      <w:pPr>
        <w:numPr>
          <w:ilvl w:val="2"/>
          <w:numId w:val="1"/>
        </w:numPr>
        <w:tabs>
          <w:tab w:val="left" w:pos="1985"/>
          <w:tab w:val="left" w:pos="2127"/>
        </w:tabs>
        <w:spacing w:after="120" w:before="120" w:lineRule="auto"/>
        <w:ind w:left="436" w:hanging="720"/>
        <w:jc w:val="left"/>
        <w:rPr/>
      </w:pPr>
      <w:bookmarkStart w:colFirst="0" w:colLast="0" w:name="_heading=h.1fob9te" w:id="2"/>
      <w:bookmarkEnd w:id="2"/>
      <w:r w:rsidDel="00000000" w:rsidR="00000000" w:rsidRPr="00000000">
        <w:rPr>
          <w:sz w:val="24"/>
          <w:szCs w:val="24"/>
          <w:rtl w:val="0"/>
        </w:rPr>
        <w:t xml:space="preserve">Security representative can be contacted through </w:t>
      </w:r>
      <w:hyperlink r:id="rId7">
        <w:r w:rsidDel="00000000" w:rsidR="00000000" w:rsidRPr="00000000">
          <w:rPr>
            <w:rFonts w:ascii="Tahoma" w:cs="Tahoma" w:eastAsia="Tahoma" w:hAnsi="Tahoma"/>
            <w:color w:val="1155cc"/>
            <w:highlight w:val="white"/>
            <w:u w:val="single"/>
            <w:rtl w:val="0"/>
          </w:rPr>
          <w:t xml:space="preserve">security@gpa.gov.uk</w:t>
        </w:r>
      </w:hyperlink>
      <w:r w:rsidDel="00000000" w:rsidR="00000000" w:rsidRPr="00000000">
        <w:rPr>
          <w:rFonts w:ascii="Tahoma" w:cs="Tahoma" w:eastAsia="Tahoma" w:hAnsi="Tahoma"/>
          <w:color w:val="222222"/>
          <w:highlight w:val="white"/>
          <w:rtl w:val="0"/>
        </w:rPr>
        <w:t xml:space="preserve"> </w:t>
      </w:r>
      <w:r w:rsidDel="00000000" w:rsidR="00000000" w:rsidRPr="00000000">
        <w:rPr>
          <w:sz w:val="24"/>
          <w:szCs w:val="24"/>
          <w:rtl w:val="0"/>
        </w:rPr>
        <w:t xml:space="preserve">for Government Property Agency</w:t>
      </w:r>
      <w:r w:rsidDel="00000000" w:rsidR="00000000" w:rsidRPr="00000000">
        <w:rPr>
          <w:rtl w:val="0"/>
        </w:rPr>
      </w:r>
    </w:p>
    <w:p w:rsidR="00000000" w:rsidDel="00000000" w:rsidP="00000000" w:rsidRDefault="00000000" w:rsidRPr="00000000" w14:paraId="00000017">
      <w:pPr>
        <w:numPr>
          <w:ilvl w:val="2"/>
          <w:numId w:val="1"/>
        </w:numPr>
        <w:tabs>
          <w:tab w:val="left" w:pos="2257"/>
        </w:tabs>
        <w:spacing w:after="0" w:line="259" w:lineRule="auto"/>
        <w:ind w:left="436" w:hanging="720"/>
        <w:jc w:val="left"/>
        <w:rPr>
          <w:highlight w:val="yellow"/>
        </w:rPr>
      </w:pPr>
      <w:r w:rsidDel="00000000" w:rsidR="00000000" w:rsidRPr="00000000">
        <w:rPr>
          <w:sz w:val="24"/>
          <w:szCs w:val="24"/>
          <w:highlight w:val="yellow"/>
          <w:rtl w:val="0"/>
        </w:rPr>
        <w:t xml:space="preserve">Redacted</w:t>
      </w:r>
      <w:r w:rsidDel="00000000" w:rsidR="00000000" w:rsidRPr="00000000">
        <w:rPr>
          <w:sz w:val="24"/>
          <w:szCs w:val="24"/>
          <w:rtl w:val="0"/>
        </w:rPr>
        <w:t xml:space="preserve"> </w:t>
      </w:r>
      <w:r w:rsidDel="00000000" w:rsidR="00000000" w:rsidRPr="00000000">
        <w:rPr>
          <w:color w:val="ffffff"/>
          <w:sz w:val="24"/>
          <w:szCs w:val="24"/>
          <w:highlight w:val="black"/>
          <w:rtl w:val="0"/>
        </w:rPr>
        <w:t xml:space="preserve">Under FOIA, Section 40, Personal Information</w:t>
      </w:r>
      <w:r w:rsidDel="00000000" w:rsidR="00000000" w:rsidRPr="00000000">
        <w:rPr>
          <w:rtl w:val="0"/>
        </w:rPr>
      </w:r>
    </w:p>
    <w:p w:rsidR="00000000" w:rsidDel="00000000" w:rsidP="00000000" w:rsidRDefault="00000000" w:rsidRPr="00000000" w14:paraId="00000018">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19">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1A">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1B">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1C">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1D">
      <w:pPr>
        <w:keepNext w:val="1"/>
        <w:numPr>
          <w:ilvl w:val="0"/>
          <w:numId w:val="1"/>
        </w:numPr>
        <w:tabs>
          <w:tab w:val="left" w:pos="0"/>
        </w:tabs>
        <w:spacing w:before="240" w:lineRule="auto"/>
        <w:ind w:left="360" w:hanging="360"/>
        <w:jc w:val="left"/>
        <w:rPr/>
      </w:pPr>
      <w:bookmarkStart w:colFirst="0" w:colLast="0" w:name="_heading=h.2et92p0" w:id="3"/>
      <w:bookmarkEnd w:id="3"/>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E">
      <w:pPr>
        <w:numPr>
          <w:ilvl w:val="1"/>
          <w:numId w:val="1"/>
        </w:numPr>
        <w:tabs>
          <w:tab w:val="left" w:pos="1134"/>
        </w:tabs>
        <w:spacing w:after="120" w:before="120" w:lineRule="auto"/>
        <w:ind w:left="644" w:hanging="360"/>
        <w:jc w:val="left"/>
        <w:rPr/>
      </w:pPr>
      <w:bookmarkStart w:colFirst="0" w:colLast="0" w:name="_heading=h.tyjcwt" w:id="4"/>
      <w:bookmarkEnd w:id="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r w:rsidDel="00000000" w:rsidR="00000000" w:rsidRPr="00000000">
        <w:rPr>
          <w:rtl w:val="0"/>
        </w:rPr>
      </w:r>
    </w:p>
    <w:p w:rsidR="00000000" w:rsidDel="00000000" w:rsidP="00000000" w:rsidRDefault="00000000" w:rsidRPr="00000000" w14:paraId="0000001F">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20">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acknowledges that;</w:t>
      </w:r>
      <w:r w:rsidDel="00000000" w:rsidR="00000000" w:rsidRPr="00000000">
        <w:rPr>
          <w:rtl w:val="0"/>
        </w:rPr>
      </w:r>
    </w:p>
    <w:p w:rsidR="00000000" w:rsidDel="00000000" w:rsidP="00000000" w:rsidRDefault="00000000" w:rsidRPr="00000000" w14:paraId="00000021">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22">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23">
      <w:pPr>
        <w:keepNext w:val="1"/>
        <w:numPr>
          <w:ilvl w:val="1"/>
          <w:numId w:val="1"/>
        </w:numPr>
        <w:tabs>
          <w:tab w:val="left" w:pos="1134"/>
        </w:tabs>
        <w:spacing w:after="120" w:before="120" w:lineRule="auto"/>
        <w:ind w:left="644" w:hanging="360"/>
        <w:jc w:val="left"/>
        <w:rPr/>
      </w:pPr>
      <w:bookmarkStart w:colFirst="0" w:colLast="0" w:name="_heading=h.3dy6vkm" w:id="5"/>
      <w:bookmarkEnd w:id="5"/>
      <w:r w:rsidDel="00000000" w:rsidR="00000000" w:rsidRPr="00000000">
        <w:rPr>
          <w:color w:val="000000"/>
          <w:sz w:val="24"/>
          <w:szCs w:val="24"/>
          <w:rtl w:val="0"/>
        </w:rPr>
        <w:t xml:space="preserve">The ISMS shall:</w:t>
      </w:r>
      <w:r w:rsidDel="00000000" w:rsidR="00000000" w:rsidRPr="00000000">
        <w:rPr>
          <w:rtl w:val="0"/>
        </w:rPr>
      </w:r>
    </w:p>
    <w:p w:rsidR="00000000" w:rsidDel="00000000" w:rsidP="00000000" w:rsidRDefault="00000000" w:rsidRPr="00000000" w14:paraId="00000024">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25">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26">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at all times provide a level of security which:</w:t>
      </w:r>
      <w:r w:rsidDel="00000000" w:rsidR="00000000" w:rsidRPr="00000000">
        <w:rPr>
          <w:rtl w:val="0"/>
        </w:rPr>
      </w:r>
    </w:p>
    <w:p w:rsidR="00000000" w:rsidDel="00000000" w:rsidP="00000000" w:rsidRDefault="00000000" w:rsidRPr="00000000" w14:paraId="00000027">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r w:rsidDel="00000000" w:rsidR="00000000" w:rsidRPr="00000000">
        <w:rPr>
          <w:rtl w:val="0"/>
        </w:rPr>
      </w:r>
    </w:p>
    <w:p w:rsidR="00000000" w:rsidDel="00000000" w:rsidP="00000000" w:rsidRDefault="00000000" w:rsidRPr="00000000" w14:paraId="00000028">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r w:rsidDel="00000000" w:rsidR="00000000" w:rsidRPr="00000000">
        <w:rPr>
          <w:rtl w:val="0"/>
        </w:rPr>
      </w:r>
    </w:p>
    <w:p w:rsidR="00000000" w:rsidDel="00000000" w:rsidP="00000000" w:rsidRDefault="00000000" w:rsidRPr="00000000" w14:paraId="00000029">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2A">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r w:rsidDel="00000000" w:rsidR="00000000" w:rsidRPr="00000000">
        <w:rPr>
          <w:rtl w:val="0"/>
        </w:rPr>
      </w:r>
    </w:p>
    <w:p w:rsidR="00000000" w:rsidDel="00000000" w:rsidP="00000000" w:rsidRDefault="00000000" w:rsidRPr="00000000" w14:paraId="0000002B">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8">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C">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9">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2D">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10">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2E">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r w:rsidDel="00000000" w:rsidR="00000000" w:rsidRPr="00000000">
        <w:rPr>
          <w:rtl w:val="0"/>
        </w:rPr>
      </w:r>
    </w:p>
    <w:p w:rsidR="00000000" w:rsidDel="00000000" w:rsidP="00000000" w:rsidRDefault="00000000" w:rsidRPr="00000000" w14:paraId="0000002F">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r w:rsidDel="00000000" w:rsidR="00000000" w:rsidRPr="00000000">
        <w:rPr>
          <w:rtl w:val="0"/>
        </w:rPr>
      </w:r>
    </w:p>
    <w:p w:rsidR="00000000" w:rsidDel="00000000" w:rsidP="00000000" w:rsidRDefault="00000000" w:rsidRPr="00000000" w14:paraId="00000030">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r w:rsidDel="00000000" w:rsidR="00000000" w:rsidRPr="00000000">
        <w:rPr>
          <w:rtl w:val="0"/>
        </w:rPr>
      </w:r>
    </w:p>
    <w:p w:rsidR="00000000" w:rsidDel="00000000" w:rsidP="00000000" w:rsidRDefault="00000000" w:rsidRPr="00000000" w14:paraId="00000031">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32">
      <w:pPr>
        <w:numPr>
          <w:ilvl w:val="2"/>
          <w:numId w:val="1"/>
        </w:numPr>
        <w:tabs>
          <w:tab w:val="left" w:pos="1985"/>
          <w:tab w:val="left" w:pos="2127"/>
        </w:tabs>
        <w:spacing w:after="120" w:before="120" w:lineRule="auto"/>
        <w:ind w:left="1656" w:hanging="720"/>
        <w:jc w:val="left"/>
        <w:rPr/>
      </w:pPr>
      <w:bookmarkStart w:colFirst="0" w:colLast="0" w:name="_heading=h.1t3h5sf" w:id="6"/>
      <w:bookmarkEnd w:id="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33">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34">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35">
      <w:pPr>
        <w:numPr>
          <w:ilvl w:val="1"/>
          <w:numId w:val="1"/>
        </w:numPr>
        <w:tabs>
          <w:tab w:val="left" w:pos="1134"/>
        </w:tabs>
        <w:spacing w:after="120" w:before="120" w:lineRule="auto"/>
        <w:ind w:left="644" w:hanging="360"/>
        <w:jc w:val="left"/>
        <w:rPr/>
      </w:pPr>
      <w:bookmarkStart w:colFirst="0" w:colLast="0" w:name="_heading=h.4d34og8" w:id="7"/>
      <w:bookmarkEnd w:id="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36">
      <w:pPr>
        <w:numPr>
          <w:ilvl w:val="1"/>
          <w:numId w:val="1"/>
        </w:numPr>
        <w:tabs>
          <w:tab w:val="left" w:pos="1134"/>
        </w:tabs>
        <w:spacing w:after="120" w:before="120" w:lineRule="auto"/>
        <w:ind w:left="644" w:hanging="360"/>
        <w:jc w:val="left"/>
        <w:rPr/>
      </w:pPr>
      <w:bookmarkStart w:colFirst="0" w:colLast="0" w:name="_heading=h.2s8eyo1" w:id="8"/>
      <w:bookmarkEnd w:id="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r w:rsidDel="00000000" w:rsidR="00000000" w:rsidRPr="00000000">
        <w:rPr>
          <w:rtl w:val="0"/>
        </w:rPr>
      </w:r>
    </w:p>
    <w:p w:rsidR="00000000" w:rsidDel="00000000" w:rsidP="00000000" w:rsidRDefault="00000000" w:rsidRPr="00000000" w14:paraId="00000037">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38">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Security Management Plan</w:t>
      </w:r>
      <w:r w:rsidDel="00000000" w:rsidR="00000000" w:rsidRPr="00000000">
        <w:rPr>
          <w:rtl w:val="0"/>
        </w:rPr>
      </w:r>
    </w:p>
    <w:p w:rsidR="00000000" w:rsidDel="00000000" w:rsidP="00000000" w:rsidRDefault="00000000" w:rsidRPr="00000000" w14:paraId="00000039">
      <w:pPr>
        <w:numPr>
          <w:ilvl w:val="1"/>
          <w:numId w:val="1"/>
        </w:numPr>
        <w:tabs>
          <w:tab w:val="left" w:pos="1134"/>
        </w:tabs>
        <w:spacing w:after="120" w:before="120" w:lineRule="auto"/>
        <w:ind w:left="644" w:hanging="360"/>
        <w:jc w:val="left"/>
        <w:rPr/>
      </w:pPr>
      <w:bookmarkStart w:colFirst="0" w:colLast="0" w:name="_heading=h.17dp8vu" w:id="9"/>
      <w:bookmarkEnd w:id="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3A">
      <w:pPr>
        <w:keepNext w:val="1"/>
        <w:numPr>
          <w:ilvl w:val="1"/>
          <w:numId w:val="1"/>
        </w:numPr>
        <w:tabs>
          <w:tab w:val="left" w:pos="1134"/>
        </w:tabs>
        <w:spacing w:after="120" w:before="120" w:lineRule="auto"/>
        <w:ind w:left="644" w:hanging="360"/>
        <w:jc w:val="left"/>
        <w:rPr/>
      </w:pPr>
      <w:bookmarkStart w:colFirst="0" w:colLast="0" w:name="_heading=h.3rdcrjn" w:id="10"/>
      <w:bookmarkEnd w:id="10"/>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3B">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3C">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r w:rsidDel="00000000" w:rsidR="00000000" w:rsidRPr="00000000">
        <w:rPr>
          <w:rtl w:val="0"/>
        </w:rPr>
      </w:r>
    </w:p>
    <w:p w:rsidR="00000000" w:rsidDel="00000000" w:rsidP="00000000" w:rsidRDefault="00000000" w:rsidRPr="00000000" w14:paraId="0000003D">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3E">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3F">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40">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r w:rsidDel="00000000" w:rsidR="00000000" w:rsidRPr="00000000">
        <w:rPr>
          <w:rtl w:val="0"/>
        </w:rPr>
      </w:r>
    </w:p>
    <w:p w:rsidR="00000000" w:rsidDel="00000000" w:rsidP="00000000" w:rsidRDefault="00000000" w:rsidRPr="00000000" w14:paraId="00000041">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42">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43">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44">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45">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46">
      <w:pPr>
        <w:numPr>
          <w:ilvl w:val="1"/>
          <w:numId w:val="1"/>
        </w:numPr>
        <w:tabs>
          <w:tab w:val="left" w:pos="1134"/>
        </w:tabs>
        <w:spacing w:after="120" w:before="120" w:lineRule="auto"/>
        <w:ind w:left="644" w:hanging="360"/>
        <w:jc w:val="left"/>
        <w:rPr/>
      </w:pPr>
      <w:bookmarkStart w:colFirst="0" w:colLast="0" w:name="_heading=h.26in1rg" w:id="11"/>
      <w:bookmarkEnd w:id="1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47">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48">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Amendment of the ISMS and Security Management Plan</w:t>
      </w:r>
      <w:r w:rsidDel="00000000" w:rsidR="00000000" w:rsidRPr="00000000">
        <w:rPr>
          <w:rtl w:val="0"/>
        </w:rPr>
      </w:r>
    </w:p>
    <w:p w:rsidR="00000000" w:rsidDel="00000000" w:rsidP="00000000" w:rsidRDefault="00000000" w:rsidRPr="00000000" w14:paraId="00000049">
      <w:pPr>
        <w:keepNext w:val="1"/>
        <w:numPr>
          <w:ilvl w:val="1"/>
          <w:numId w:val="1"/>
        </w:numPr>
        <w:tabs>
          <w:tab w:val="left" w:pos="1134"/>
        </w:tabs>
        <w:spacing w:after="120" w:before="120" w:lineRule="auto"/>
        <w:ind w:left="644" w:hanging="360"/>
        <w:jc w:val="left"/>
        <w:rPr/>
      </w:pPr>
      <w:bookmarkStart w:colFirst="0" w:colLast="0" w:name="_heading=h.lnxbz9" w:id="12"/>
      <w:bookmarkEnd w:id="12"/>
      <w:r w:rsidDel="00000000" w:rsidR="00000000" w:rsidRPr="00000000">
        <w:rPr>
          <w:color w:val="000000"/>
          <w:sz w:val="24"/>
          <w:szCs w:val="24"/>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4A">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4B">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4C">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any new perceived or changed security threats; </w:t>
      </w:r>
      <w:r w:rsidDel="00000000" w:rsidR="00000000" w:rsidRPr="00000000">
        <w:rPr>
          <w:rtl w:val="0"/>
        </w:rPr>
      </w:r>
    </w:p>
    <w:p w:rsidR="00000000" w:rsidDel="00000000" w:rsidP="00000000" w:rsidRDefault="00000000" w:rsidRPr="00000000" w14:paraId="0000004D">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where required in accordance with paragraph 3.4.3 d, any changes to the Security Policy;</w:t>
      </w:r>
      <w:r w:rsidDel="00000000" w:rsidR="00000000" w:rsidRPr="00000000">
        <w:rPr>
          <w:rtl w:val="0"/>
        </w:rPr>
      </w:r>
    </w:p>
    <w:p w:rsidR="00000000" w:rsidDel="00000000" w:rsidP="00000000" w:rsidRDefault="00000000" w:rsidRPr="00000000" w14:paraId="0000004E">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4F">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50">
      <w:pPr>
        <w:numPr>
          <w:ilvl w:val="1"/>
          <w:numId w:val="1"/>
        </w:numPr>
        <w:tabs>
          <w:tab w:val="left" w:pos="1134"/>
        </w:tabs>
        <w:spacing w:after="120" w:before="120" w:lineRule="auto"/>
        <w:ind w:left="644" w:hanging="360"/>
        <w:jc w:val="left"/>
        <w:rPr/>
      </w:pPr>
      <w:bookmarkStart w:colFirst="0" w:colLast="0" w:name="_heading=h.35nkun2" w:id="13"/>
      <w:bookmarkEnd w:id="1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51">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52">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updates to the risk assessments;</w:t>
      </w:r>
      <w:r w:rsidDel="00000000" w:rsidR="00000000" w:rsidRPr="00000000">
        <w:rPr>
          <w:rtl w:val="0"/>
        </w:rPr>
      </w:r>
    </w:p>
    <w:p w:rsidR="00000000" w:rsidDel="00000000" w:rsidP="00000000" w:rsidRDefault="00000000" w:rsidRPr="00000000" w14:paraId="00000053">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54">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55">
      <w:pPr>
        <w:numPr>
          <w:ilvl w:val="1"/>
          <w:numId w:val="1"/>
        </w:numPr>
        <w:tabs>
          <w:tab w:val="left" w:pos="1134"/>
        </w:tabs>
        <w:spacing w:after="120" w:before="120" w:lineRule="auto"/>
        <w:ind w:left="644" w:hanging="360"/>
        <w:jc w:val="left"/>
        <w:rPr/>
      </w:pPr>
      <w:bookmarkStart w:colFirst="0" w:colLast="0" w:name="_heading=h.1ksv4uv" w:id="14"/>
      <w:bookmarkEnd w:id="1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56">
      <w:pPr>
        <w:numPr>
          <w:ilvl w:val="1"/>
          <w:numId w:val="1"/>
        </w:numPr>
        <w:tabs>
          <w:tab w:val="left" w:pos="1134"/>
        </w:tabs>
        <w:spacing w:after="120" w:before="120" w:lineRule="auto"/>
        <w:ind w:left="644" w:hanging="360"/>
        <w:jc w:val="left"/>
        <w:rPr/>
      </w:pPr>
      <w:bookmarkStart w:colFirst="0" w:colLast="0" w:name="_heading=h.44sinio" w:id="15"/>
      <w:bookmarkEnd w:id="1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57">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058">
      <w:pPr>
        <w:numPr>
          <w:ilvl w:val="1"/>
          <w:numId w:val="1"/>
        </w:numPr>
        <w:tabs>
          <w:tab w:val="left" w:pos="1134"/>
        </w:tabs>
        <w:spacing w:after="120" w:before="120" w:lineRule="auto"/>
        <w:ind w:left="644" w:hanging="360"/>
        <w:jc w:val="left"/>
        <w:rPr/>
      </w:pPr>
      <w:bookmarkStart w:colFirst="0" w:colLast="0" w:name="_heading=h.2jxsxqh" w:id="16"/>
      <w:bookmarkEnd w:id="1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59">
      <w:pPr>
        <w:numPr>
          <w:ilvl w:val="1"/>
          <w:numId w:val="1"/>
        </w:numPr>
        <w:tabs>
          <w:tab w:val="left" w:pos="1134"/>
        </w:tabs>
        <w:spacing w:after="120" w:before="120" w:lineRule="auto"/>
        <w:ind w:left="644" w:hanging="360"/>
        <w:jc w:val="left"/>
        <w:rPr/>
      </w:pPr>
      <w:bookmarkStart w:colFirst="0" w:colLast="0" w:name="_heading=h.z337ya" w:id="17"/>
      <w:bookmarkEnd w:id="1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5A">
      <w:pPr>
        <w:numPr>
          <w:ilvl w:val="1"/>
          <w:numId w:val="1"/>
        </w:numPr>
        <w:tabs>
          <w:tab w:val="left" w:pos="1134"/>
        </w:tabs>
        <w:spacing w:after="120" w:before="120" w:lineRule="auto"/>
        <w:ind w:left="644" w:hanging="360"/>
        <w:jc w:val="left"/>
        <w:rPr/>
      </w:pPr>
      <w:bookmarkStart w:colFirst="0" w:colLast="0" w:name="_heading=h.3j2qqm3" w:id="18"/>
      <w:bookmarkEnd w:id="1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r w:rsidDel="00000000" w:rsidR="00000000" w:rsidRPr="00000000">
        <w:rPr>
          <w:rtl w:val="0"/>
        </w:rPr>
      </w:r>
    </w:p>
    <w:p w:rsidR="00000000" w:rsidDel="00000000" w:rsidP="00000000" w:rsidRDefault="00000000" w:rsidRPr="00000000" w14:paraId="0000005B">
      <w:pPr>
        <w:numPr>
          <w:ilvl w:val="1"/>
          <w:numId w:val="1"/>
        </w:numPr>
        <w:tabs>
          <w:tab w:val="left" w:pos="1134"/>
        </w:tabs>
        <w:spacing w:after="120" w:before="120" w:lineRule="auto"/>
        <w:ind w:left="644" w:hanging="360"/>
        <w:jc w:val="left"/>
        <w:rPr/>
      </w:pPr>
      <w:bookmarkStart w:colFirst="0" w:colLast="0" w:name="_heading=h.1y810tw" w:id="19"/>
      <w:bookmarkEnd w:id="1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5C">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5D">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Complying with the ISMS </w:t>
      </w:r>
      <w:r w:rsidDel="00000000" w:rsidR="00000000" w:rsidRPr="00000000">
        <w:rPr>
          <w:rtl w:val="0"/>
        </w:rPr>
      </w:r>
    </w:p>
    <w:p w:rsidR="00000000" w:rsidDel="00000000" w:rsidP="00000000" w:rsidRDefault="00000000" w:rsidRPr="00000000" w14:paraId="0000005E">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r w:rsidDel="00000000" w:rsidR="00000000" w:rsidRPr="00000000">
        <w:rPr>
          <w:rtl w:val="0"/>
        </w:rPr>
      </w:r>
    </w:p>
    <w:p w:rsidR="00000000" w:rsidDel="00000000" w:rsidP="00000000" w:rsidRDefault="00000000" w:rsidRPr="00000000" w14:paraId="0000005F">
      <w:pPr>
        <w:numPr>
          <w:ilvl w:val="1"/>
          <w:numId w:val="1"/>
        </w:numPr>
        <w:tabs>
          <w:tab w:val="left" w:pos="1134"/>
        </w:tabs>
        <w:spacing w:after="120" w:before="120" w:lineRule="auto"/>
        <w:ind w:left="644" w:hanging="360"/>
        <w:jc w:val="left"/>
        <w:rPr/>
      </w:pPr>
      <w:bookmarkStart w:colFirst="0" w:colLast="0" w:name="_heading=h.4i7ojhp" w:id="20"/>
      <w:bookmarkEnd w:id="2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60">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61">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2">
      <w:pPr>
        <w:numPr>
          <w:ilvl w:val="1"/>
          <w:numId w:val="1"/>
        </w:numPr>
        <w:tabs>
          <w:tab w:val="left" w:pos="1134"/>
        </w:tabs>
        <w:spacing w:after="120" w:before="120" w:lineRule="auto"/>
        <w:ind w:left="644" w:hanging="360"/>
        <w:jc w:val="left"/>
        <w:rPr/>
      </w:pPr>
      <w:bookmarkStart w:colFirst="0" w:colLast="0" w:name="_heading=h.2xcytpi" w:id="21"/>
      <w:bookmarkEnd w:id="21"/>
      <w:r w:rsidDel="00000000" w:rsidR="00000000" w:rsidRPr="00000000">
        <w:rPr>
          <w:color w:val="000000"/>
          <w:sz w:val="24"/>
          <w:szCs w:val="24"/>
          <w:rtl w:val="0"/>
        </w:rPr>
        <w:t xml:space="preserve">Either Party shall notify the other immediately or as soon as practicable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63">
      <w:pPr>
        <w:keepNext w:val="1"/>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64">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65">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66">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r w:rsidDel="00000000" w:rsidR="00000000" w:rsidRPr="00000000">
        <w:rPr>
          <w:rtl w:val="0"/>
        </w:rPr>
      </w:r>
    </w:p>
    <w:p w:rsidR="00000000" w:rsidDel="00000000" w:rsidP="00000000" w:rsidRDefault="00000000" w:rsidRPr="00000000" w14:paraId="00000067">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68">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r w:rsidDel="00000000" w:rsidR="00000000" w:rsidRPr="00000000">
        <w:rPr>
          <w:rtl w:val="0"/>
        </w:rPr>
      </w:r>
    </w:p>
    <w:p w:rsidR="00000000" w:rsidDel="00000000" w:rsidP="00000000" w:rsidRDefault="00000000" w:rsidRPr="00000000" w14:paraId="00000069">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6A">
      <w:pPr>
        <w:numPr>
          <w:ilvl w:val="3"/>
          <w:numId w:val="1"/>
        </w:numPr>
        <w:tabs>
          <w:tab w:val="left" w:pos="1985"/>
          <w:tab w:val="left"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6B">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6C">
      <w:pPr>
        <w:keepNext w:val="1"/>
        <w:numPr>
          <w:ilvl w:val="0"/>
          <w:numId w:val="1"/>
        </w:numPr>
        <w:tabs>
          <w:tab w:val="left" w:pos="0"/>
        </w:tabs>
        <w:spacing w:before="240" w:lineRule="auto"/>
        <w:ind w:left="360" w:hanging="360"/>
        <w:jc w:val="left"/>
        <w:rPr/>
      </w:pPr>
      <w:r w:rsidDel="00000000" w:rsidR="00000000" w:rsidRPr="00000000">
        <w:rPr>
          <w:b w:val="1"/>
          <w:color w:val="000000"/>
          <w:sz w:val="24"/>
          <w:szCs w:val="24"/>
          <w:rtl w:val="0"/>
        </w:rPr>
        <w:t xml:space="preserve">Vulnerabilities and fixing them</w:t>
      </w:r>
      <w:r w:rsidDel="00000000" w:rsidR="00000000" w:rsidRPr="00000000">
        <w:rPr>
          <w:rtl w:val="0"/>
        </w:rPr>
      </w:r>
    </w:p>
    <w:p w:rsidR="00000000" w:rsidDel="00000000" w:rsidP="00000000" w:rsidRDefault="00000000" w:rsidRPr="00000000" w14:paraId="0000006D">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6E">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r w:rsidDel="00000000" w:rsidR="00000000" w:rsidRPr="00000000">
        <w:rPr>
          <w:rtl w:val="0"/>
        </w:rPr>
      </w:r>
    </w:p>
    <w:p w:rsidR="00000000" w:rsidDel="00000000" w:rsidP="00000000" w:rsidRDefault="00000000" w:rsidRPr="00000000" w14:paraId="0000006F">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70">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71">
      <w:pPr>
        <w:numPr>
          <w:ilvl w:val="1"/>
          <w:numId w:val="1"/>
        </w:numPr>
        <w:tabs>
          <w:tab w:val="left" w:pos="1134"/>
        </w:tabs>
        <w:spacing w:after="120" w:before="120" w:lineRule="auto"/>
        <w:ind w:left="644" w:hanging="360"/>
        <w:rPr/>
      </w:pPr>
      <w:bookmarkStart w:colFirst="0" w:colLast="0" w:name="_heading=h.1ci93xb" w:id="22"/>
      <w:bookmarkEnd w:id="2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t>
      </w:r>
      <w:r w:rsidDel="00000000" w:rsidR="00000000" w:rsidRPr="00000000">
        <w:rPr>
          <w:sz w:val="24"/>
          <w:szCs w:val="24"/>
          <w:rtl w:val="0"/>
        </w:rPr>
        <w:t xml:space="preserve">Calendar </w:t>
      </w:r>
      <w:r w:rsidDel="00000000" w:rsidR="00000000" w:rsidRPr="00000000">
        <w:rPr>
          <w:color w:val="000000"/>
          <w:sz w:val="24"/>
          <w:szCs w:val="24"/>
          <w:rtl w:val="0"/>
        </w:rPr>
        <w:t xml:space="preserve">Days of release, except where:</w:t>
      </w:r>
      <w:r w:rsidDel="00000000" w:rsidR="00000000" w:rsidRPr="00000000">
        <w:rPr>
          <w:rtl w:val="0"/>
        </w:rPr>
      </w:r>
    </w:p>
    <w:p w:rsidR="00000000" w:rsidDel="00000000" w:rsidP="00000000" w:rsidRDefault="00000000" w:rsidRPr="00000000" w14:paraId="00000072">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73">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74">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75">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76">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77">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is agreed with the Buyer in writing. </w:t>
      </w:r>
      <w:r w:rsidDel="00000000" w:rsidR="00000000" w:rsidRPr="00000000">
        <w:rPr>
          <w:rtl w:val="0"/>
        </w:rPr>
      </w:r>
    </w:p>
    <w:p w:rsidR="00000000" w:rsidDel="00000000" w:rsidP="00000000" w:rsidRDefault="00000000" w:rsidRPr="00000000" w14:paraId="00000078">
      <w:pPr>
        <w:keepNext w:val="1"/>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79">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7A">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7B">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7C">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7D">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7E">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7F">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80">
      <w:pPr>
        <w:numPr>
          <w:ilvl w:val="2"/>
          <w:numId w:val="1"/>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81">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82">
      <w:pPr>
        <w:numPr>
          <w:ilvl w:val="1"/>
          <w:numId w:val="1"/>
        </w:numPr>
        <w:tabs>
          <w:tab w:val="left" w:pos="1134"/>
        </w:tabs>
        <w:spacing w:after="120" w:before="120" w:lineRule="auto"/>
        <w:ind w:left="644" w:hanging="360"/>
        <w:jc w:val="left"/>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r w:rsidDel="00000000" w:rsidR="00000000" w:rsidRPr="00000000">
        <w:br w:type="page"/>
      </w:r>
      <w:r w:rsidDel="00000000" w:rsidR="00000000" w:rsidRPr="00000000">
        <w:rPr>
          <w:rtl w:val="0"/>
        </w:rPr>
      </w:r>
    </w:p>
    <w:p w:rsidR="00000000" w:rsidDel="00000000" w:rsidP="00000000" w:rsidRDefault="00000000" w:rsidRPr="00000000" w14:paraId="00000083">
      <w:pPr>
        <w:ind w:left="0" w:firstLine="0"/>
        <w:jc w:val="left"/>
        <w:rPr>
          <w:b w:val="1"/>
          <w:color w:val="000000"/>
          <w:sz w:val="36"/>
          <w:szCs w:val="36"/>
        </w:rPr>
      </w:pPr>
      <w:bookmarkStart w:colFirst="0" w:colLast="0" w:name="_heading=h.3whwml4" w:id="23"/>
      <w:bookmarkEnd w:id="23"/>
      <w:r w:rsidDel="00000000" w:rsidR="00000000" w:rsidRPr="00000000">
        <w:rPr>
          <w:b w:val="1"/>
          <w:color w:val="000000"/>
          <w:sz w:val="36"/>
          <w:szCs w:val="36"/>
          <w:rtl w:val="0"/>
        </w:rPr>
        <w:t xml:space="preserve">Part B – Annex 1: </w:t>
      </w:r>
    </w:p>
    <w:p w:rsidR="00000000" w:rsidDel="00000000" w:rsidP="00000000" w:rsidRDefault="00000000" w:rsidRPr="00000000" w14:paraId="00000084">
      <w:pP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85">
      <w:pP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6">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7">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88">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9">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r w:rsidDel="00000000" w:rsidR="00000000" w:rsidRPr="00000000">
        <w:rPr>
          <w:rtl w:val="0"/>
        </w:rPr>
      </w:r>
    </w:p>
    <w:p w:rsidR="00000000" w:rsidDel="00000000" w:rsidP="00000000" w:rsidRDefault="00000000" w:rsidRPr="00000000" w14:paraId="0000008A">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r w:rsidDel="00000000" w:rsidR="00000000" w:rsidRPr="00000000">
        <w:rPr>
          <w:rtl w:val="0"/>
        </w:rPr>
      </w:r>
    </w:p>
    <w:p w:rsidR="00000000" w:rsidDel="00000000" w:rsidP="00000000" w:rsidRDefault="00000000" w:rsidRPr="00000000" w14:paraId="0000008B">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Data Processing, Storage, Management and Destruction</w:t>
      </w:r>
      <w:r w:rsidDel="00000000" w:rsidR="00000000" w:rsidRPr="00000000">
        <w:rPr>
          <w:rtl w:val="0"/>
        </w:rPr>
      </w:r>
    </w:p>
    <w:p w:rsidR="00000000" w:rsidDel="00000000" w:rsidP="00000000" w:rsidRDefault="00000000" w:rsidRPr="00000000" w14:paraId="0000008C">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sz w:val="24"/>
          <w:szCs w:val="24"/>
          <w:rtl w:val="0"/>
        </w:rPr>
        <w:t xml:space="preserve">The Supplier must seek prior permission from the Buyer if the supplier intends to store or process the Buyer’s information outside of the United Kingdom.</w:t>
      </w:r>
      <w:r w:rsidDel="00000000" w:rsidR="00000000" w:rsidRPr="00000000">
        <w:rPr>
          <w:rtl w:val="0"/>
        </w:rPr>
      </w:r>
    </w:p>
    <w:p w:rsidR="00000000" w:rsidDel="00000000" w:rsidP="00000000" w:rsidRDefault="00000000" w:rsidRPr="00000000" w14:paraId="0000008D">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8E">
      <w:pPr>
        <w:keepNext w:val="1"/>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8F">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90">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91">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92">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93">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4">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r w:rsidDel="00000000" w:rsidR="00000000" w:rsidRPr="00000000">
        <w:rPr>
          <w:rtl w:val="0"/>
        </w:rPr>
      </w:r>
    </w:p>
    <w:p w:rsidR="00000000" w:rsidDel="00000000" w:rsidP="00000000" w:rsidRDefault="00000000" w:rsidRPr="00000000" w14:paraId="00000095">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96">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7">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98">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99">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Security of Supplier Staff </w:t>
      </w:r>
      <w:r w:rsidDel="00000000" w:rsidR="00000000" w:rsidRPr="00000000">
        <w:rPr>
          <w:rtl w:val="0"/>
        </w:rPr>
      </w:r>
    </w:p>
    <w:p w:rsidR="00000000" w:rsidDel="00000000" w:rsidP="00000000" w:rsidRDefault="00000000" w:rsidRPr="00000000" w14:paraId="0000009A">
      <w:pPr>
        <w:numPr>
          <w:ilvl w:val="1"/>
          <w:numId w:val="2"/>
        </w:numPr>
        <w:tabs>
          <w:tab w:val="left" w:pos="1134"/>
        </w:tabs>
        <w:spacing w:after="120" w:before="120" w:lineRule="auto"/>
        <w:ind w:left="644" w:hanging="360"/>
        <w:jc w:val="left"/>
        <w:rPr/>
      </w:pPr>
      <w:r w:rsidDel="00000000" w:rsidR="00000000" w:rsidRPr="00000000">
        <w:rPr>
          <w:rtl w:val="0"/>
        </w:rPr>
        <w:t xml:space="preserve">The Supplier shall ensure that </w:t>
      </w:r>
      <w:r w:rsidDel="00000000" w:rsidR="00000000" w:rsidRPr="00000000">
        <w:rPr>
          <w:color w:val="000000"/>
          <w:sz w:val="24"/>
          <w:szCs w:val="24"/>
          <w:rtl w:val="0"/>
        </w:rPr>
        <w:t xml:space="preserve">Supplier Staff, and shall procure that Subcontractors ensure that their staff, are subject to pre-employment checks that include, as a minimum: identity, unspent criminal convictions and right to work. These checks must be conducted in accordance with Schedule 18 (Background Checks).</w:t>
      </w:r>
      <w:r w:rsidDel="00000000" w:rsidR="00000000" w:rsidRPr="00000000">
        <w:rPr>
          <w:rtl w:val="0"/>
        </w:rPr>
        <w:t xml:space="preserve">     </w:t>
      </w:r>
    </w:p>
    <w:p w:rsidR="00000000" w:rsidDel="00000000" w:rsidP="00000000" w:rsidRDefault="00000000" w:rsidRPr="00000000" w14:paraId="0000009B">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t xml:space="preserve">     </w:t>
      </w:r>
    </w:p>
    <w:p w:rsidR="00000000" w:rsidDel="00000000" w:rsidP="00000000" w:rsidRDefault="00000000" w:rsidRPr="00000000" w14:paraId="0000009C">
      <w:pPr>
        <w:numPr>
          <w:ilvl w:val="1"/>
          <w:numId w:val="2"/>
        </w:numPr>
        <w:tabs>
          <w:tab w:val="left" w:pos="1134"/>
        </w:tabs>
        <w:spacing w:after="120" w:before="120" w:lineRule="auto"/>
        <w:ind w:left="644" w:hanging="357"/>
        <w:rPr/>
      </w:pPr>
      <w:r w:rsidDel="00000000" w:rsidR="00000000" w:rsidRPr="00000000">
        <w:rPr>
          <w:color w:val="000000"/>
          <w:sz w:val="24"/>
          <w:szCs w:val="24"/>
          <w:rtl w:val="0"/>
        </w:rPr>
        <w:t xml:space="preserve">The Supplier must, and shall procure that Subcontractors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The Supplier is, and shall procure that relevant Subcontractors are, also responsible for supporting compliance with Good Industry Practice related to managing staff holding national security clearance. </w:t>
      </w:r>
      <w:r w:rsidDel="00000000" w:rsidR="00000000" w:rsidRPr="00000000">
        <w:rPr>
          <w:rtl w:val="0"/>
        </w:rPr>
      </w:r>
    </w:p>
    <w:p w:rsidR="00000000" w:rsidDel="00000000" w:rsidP="00000000" w:rsidRDefault="00000000" w:rsidRPr="00000000" w14:paraId="0000009D">
      <w:pPr>
        <w:numPr>
          <w:ilvl w:val="1"/>
          <w:numId w:val="2"/>
        </w:numPr>
        <w:tabs>
          <w:tab w:val="left" w:pos="1134"/>
        </w:tabs>
        <w:spacing w:after="120" w:before="120" w:lineRule="auto"/>
        <w:ind w:left="644" w:hanging="357"/>
        <w:rPr>
          <w:color w:val="000000"/>
        </w:rPr>
      </w:pPr>
      <w:r w:rsidDel="00000000" w:rsidR="00000000" w:rsidRPr="00000000">
        <w:rPr>
          <w:color w:val="000000"/>
          <w:sz w:val="24"/>
          <w:szCs w:val="24"/>
          <w:rtl w:val="0"/>
        </w:rPr>
        <w:t xml:space="preserve">The Supplier must not, and shall procure that Subcontractors must not, take or work on the Buyer's sensitive data outside of the United Kingdom. If there is a business need to do so then the Supplier must seek permission in advance from the Buyer and justify why this is necessary.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E">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w:t>
      </w:r>
      <w:r w:rsidDel="00000000" w:rsidR="00000000" w:rsidRPr="00000000">
        <w:rPr>
          <w:rtl w:val="0"/>
        </w:rPr>
        <w:t xml:space="preserve">     </w:t>
      </w:r>
      <w:r w:rsidDel="00000000" w:rsidR="00000000" w:rsidRPr="00000000">
        <w:rPr>
          <w:color w:val="000000"/>
          <w:sz w:val="24"/>
          <w:szCs w:val="24"/>
          <w:rtl w:val="0"/>
        </w:rPr>
        <w:t xml:space="preserve">shall prevent Supplier Staff, and shall procure that Subcontractors prevent their </w:t>
      </w:r>
      <w:r w:rsidDel="00000000" w:rsidR="00000000" w:rsidRPr="00000000">
        <w:rPr>
          <w:rtl w:val="0"/>
        </w:rPr>
        <w:t xml:space="preserve">     </w:t>
      </w:r>
      <w:r w:rsidDel="00000000" w:rsidR="00000000" w:rsidRPr="00000000">
        <w:rPr>
          <w:color w:val="000000"/>
          <w:sz w:val="24"/>
          <w:szCs w:val="24"/>
          <w:rtl w:val="0"/>
        </w:rPr>
        <w:t xml:space="preserve">staff, who are unable to obtain the required security clearances from accessing </w:t>
      </w:r>
      <w:r w:rsidDel="00000000" w:rsidR="00000000" w:rsidRPr="00000000">
        <w:rPr>
          <w:rtl w:val="0"/>
        </w:rPr>
        <w:t xml:space="preserve">          </w:t>
      </w:r>
      <w:r w:rsidDel="00000000" w:rsidR="00000000" w:rsidRPr="00000000">
        <w:rPr>
          <w:color w:val="000000"/>
          <w:sz w:val="24"/>
          <w:szCs w:val="24"/>
          <w:rtl w:val="0"/>
        </w:rPr>
        <w:t xml:space="preserve">any assets they are not cleared to access, this includes but is not limited to: information and the systems  which store, process, or are used to manage Government Data except where agreed with the Buyer in writing. </w:t>
      </w:r>
      <w:r w:rsidDel="00000000" w:rsidR="00000000" w:rsidRPr="00000000">
        <w:rPr>
          <w:sz w:val="24"/>
          <w:szCs w:val="24"/>
          <w:rtl w:val="0"/>
        </w:rPr>
        <w:t xml:space="preserve">The Supplier is responsible for, and shall procure that the relevant Subcontractors are responsible for, ensuring staff are given a security induction that is commensurate to the sensitivity of assets they will be granted access to and complies with Good Industry Practice. The Supplier shall ensure that a</w:t>
      </w:r>
      <w:r w:rsidDel="00000000" w:rsidR="00000000" w:rsidRPr="00000000">
        <w:rPr>
          <w:rtl w:val="0"/>
        </w:rPr>
        <w:t xml:space="preserve">     </w:t>
      </w:r>
      <w:r w:rsidDel="00000000" w:rsidR="00000000" w:rsidRPr="00000000">
        <w:rPr>
          <w:color w:val="000000"/>
          <w:sz w:val="24"/>
          <w:szCs w:val="24"/>
          <w:rtl w:val="0"/>
        </w:rPr>
        <w:t xml:space="preserve">ll personnel that have the ability to access Government Data or systems holding Government Data shall undergo regular training on secure information management principles. Unless otherwise agreed with the Buyer in writing, this training must be undertaken annually. The Supplier must, and shall procure that Subcontractors must, maintain accurate records of completed training and the Buyer shall be entitled to verify those records.</w:t>
      </w:r>
      <w:r w:rsidDel="00000000" w:rsidR="00000000" w:rsidRPr="00000000">
        <w:rPr>
          <w:rtl w:val="0"/>
        </w:rPr>
      </w:r>
    </w:p>
    <w:p w:rsidR="00000000" w:rsidDel="00000000" w:rsidP="00000000" w:rsidRDefault="00000000" w:rsidRPr="00000000" w14:paraId="0000009F">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Where the Supplier and/or Subcontractor(s) grant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Where the staff member holds a level of national security clearance the Supplier must, and shall procure that the Subcontractors must, notify the relevant vetting authority of the need to lapse the person’s security clearance. The Supplier must, and shall procure that the Subcontractors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A0">
      <w:pPr>
        <w:numPr>
          <w:ilvl w:val="1"/>
          <w:numId w:val="2"/>
        </w:numPr>
        <w:tabs>
          <w:tab w:val="left" w:pos="1134"/>
        </w:tabs>
        <w:spacing w:after="120" w:before="120" w:lineRule="auto"/>
        <w:ind w:left="644" w:hanging="357"/>
        <w:rPr/>
      </w:pPr>
      <w:r w:rsidDel="00000000" w:rsidR="00000000" w:rsidRPr="00000000">
        <w:rPr>
          <w:rtl w:val="0"/>
        </w:rPr>
        <w:t xml:space="preserve">The </w:t>
      </w:r>
      <w:r w:rsidDel="00000000" w:rsidR="00000000" w:rsidRPr="00000000">
        <w:rPr>
          <w:color w:val="000000"/>
          <w:sz w:val="24"/>
          <w:szCs w:val="24"/>
          <w:rtl w:val="0"/>
        </w:rPr>
        <w:t xml:space="preserve">Supplier must, and shall procure that Subcontractors must, report potential security concerns regarding their staff behaviour to the appropriate vetting authority immediately or at the earliest opportunity.</w:t>
      </w:r>
      <w:r w:rsidDel="00000000" w:rsidR="00000000" w:rsidRPr="00000000">
        <w:rPr>
          <w:rtl w:val="0"/>
        </w:rPr>
      </w:r>
    </w:p>
    <w:p w:rsidR="00000000" w:rsidDel="00000000" w:rsidP="00000000" w:rsidRDefault="00000000" w:rsidRPr="00000000" w14:paraId="000000A1">
      <w:pPr>
        <w:keepNext w:val="1"/>
        <w:numPr>
          <w:ilvl w:val="0"/>
          <w:numId w:val="2"/>
        </w:numPr>
        <w:tabs>
          <w:tab w:val="left" w:pos="0"/>
        </w:tabs>
        <w:spacing w:before="240" w:lineRule="auto"/>
        <w:ind w:left="360" w:hanging="360"/>
        <w:jc w:val="left"/>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A2">
      <w:pPr>
        <w:numPr>
          <w:ilvl w:val="1"/>
          <w:numId w:val="2"/>
        </w:numPr>
        <w:tabs>
          <w:tab w:val="left" w:pos="1134"/>
        </w:tabs>
        <w:spacing w:after="120" w:before="120" w:lineRule="auto"/>
        <w:ind w:left="644" w:hanging="360"/>
        <w:jc w:val="left"/>
        <w:rPr/>
      </w:pPr>
      <w:bookmarkStart w:colFirst="0" w:colLast="0" w:name="_heading=h.1pxezwc" w:id="24"/>
      <w:bookmarkEnd w:id="24"/>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A3">
      <w:pPr>
        <w:keepNext w:val="1"/>
        <w:numPr>
          <w:ilvl w:val="0"/>
          <w:numId w:val="2"/>
        </w:numPr>
        <w:tabs>
          <w:tab w:val="left" w:pos="0"/>
        </w:tabs>
        <w:spacing w:before="240" w:lineRule="auto"/>
        <w:ind w:left="360" w:hanging="360"/>
        <w:jc w:val="left"/>
        <w:rPr/>
      </w:pPr>
      <w:bookmarkStart w:colFirst="0" w:colLast="0" w:name="_heading=h.2bn6wsx" w:id="25"/>
      <w:bookmarkEnd w:id="25"/>
      <w:r w:rsidDel="00000000" w:rsidR="00000000" w:rsidRPr="00000000">
        <w:rPr>
          <w:b w:val="1"/>
          <w:color w:val="000000"/>
          <w:sz w:val="24"/>
          <w:szCs w:val="24"/>
          <w:rtl w:val="0"/>
        </w:rPr>
        <w:t xml:space="preserve">Audit </w:t>
      </w:r>
      <w:r w:rsidDel="00000000" w:rsidR="00000000" w:rsidRPr="00000000">
        <w:rPr>
          <w:rtl w:val="0"/>
        </w:rPr>
      </w:r>
    </w:p>
    <w:p w:rsidR="00000000" w:rsidDel="00000000" w:rsidP="00000000" w:rsidRDefault="00000000" w:rsidRPr="00000000" w14:paraId="000000A4">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A5">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A6">
      <w:pPr>
        <w:numPr>
          <w:ilvl w:val="2"/>
          <w:numId w:val="2"/>
        </w:numPr>
        <w:tabs>
          <w:tab w:val="left" w:pos="1985"/>
          <w:tab w:val="left" w:pos="2127"/>
        </w:tabs>
        <w:spacing w:after="120" w:before="120" w:lineRule="auto"/>
        <w:ind w:left="1656" w:hanging="720"/>
        <w:jc w:val="left"/>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r w:rsidDel="00000000" w:rsidR="00000000" w:rsidRPr="00000000">
        <w:rPr>
          <w:rtl w:val="0"/>
        </w:rPr>
      </w:r>
    </w:p>
    <w:p w:rsidR="00000000" w:rsidDel="00000000" w:rsidP="00000000" w:rsidRDefault="00000000" w:rsidRPr="00000000" w14:paraId="000000A7">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A8">
      <w:pPr>
        <w:numPr>
          <w:ilvl w:val="1"/>
          <w:numId w:val="2"/>
        </w:numPr>
        <w:tabs>
          <w:tab w:val="left" w:pos="1134"/>
        </w:tabs>
        <w:spacing w:after="120" w:before="120" w:lineRule="auto"/>
        <w:ind w:left="644" w:hanging="360"/>
        <w:jc w:val="left"/>
        <w:rPr/>
      </w:pPr>
      <w:r w:rsidDel="00000000" w:rsidR="00000000" w:rsidRPr="00000000">
        <w:rPr>
          <w:color w:val="000000"/>
          <w:sz w:val="24"/>
          <w:szCs w:val="24"/>
          <w:rtl w:val="0"/>
        </w:rPr>
        <w:t xml:space="preserve">The Supplier shall retain audit records collected in compliance with this Paragraph 8 for a period of at least 6 Months.</w:t>
      </w:r>
      <w:r w:rsidDel="00000000" w:rsidR="00000000" w:rsidRPr="00000000">
        <w:br w:type="page"/>
      </w:r>
      <w:r w:rsidDel="00000000" w:rsidR="00000000" w:rsidRPr="00000000">
        <w:rPr>
          <w:rtl w:val="0"/>
        </w:rPr>
      </w:r>
    </w:p>
    <w:p w:rsidR="00000000" w:rsidDel="00000000" w:rsidP="00000000" w:rsidRDefault="00000000" w:rsidRPr="00000000" w14:paraId="000000A9">
      <w:pPr>
        <w:ind w:left="0" w:firstLine="0"/>
        <w:jc w:val="left"/>
        <w:rPr>
          <w:b w:val="1"/>
          <w:color w:val="000000"/>
          <w:sz w:val="36"/>
          <w:szCs w:val="36"/>
        </w:rPr>
      </w:pP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AA">
      <w:pPr>
        <w:tabs>
          <w:tab w:val="left" w:pos="2257"/>
        </w:tabs>
        <w:spacing w:after="0" w:line="259" w:lineRule="auto"/>
        <w:ind w:left="0"/>
        <w:jc w:val="left"/>
        <w:rPr>
          <w:sz w:val="24"/>
          <w:szCs w:val="24"/>
          <w:highlight w:val="yellow"/>
        </w:rPr>
      </w:pPr>
      <w:r w:rsidDel="00000000" w:rsidR="00000000" w:rsidRPr="00000000">
        <w:rPr>
          <w:sz w:val="24"/>
          <w:szCs w:val="24"/>
          <w:highlight w:val="yellow"/>
          <w:rtl w:val="0"/>
        </w:rPr>
        <w:t xml:space="preserve">Redacted</w:t>
      </w:r>
      <w:r w:rsidDel="00000000" w:rsidR="00000000" w:rsidRPr="00000000">
        <w:rPr>
          <w:sz w:val="24"/>
          <w:szCs w:val="24"/>
          <w:rtl w:val="0"/>
        </w:rPr>
        <w:t xml:space="preserve"> </w:t>
      </w:r>
      <w:r w:rsidDel="00000000" w:rsidR="00000000" w:rsidRPr="00000000">
        <w:rPr>
          <w:color w:val="ffffff"/>
          <w:sz w:val="24"/>
          <w:szCs w:val="24"/>
          <w:highlight w:val="black"/>
          <w:rtl w:val="0"/>
        </w:rPr>
        <w:t xml:space="preserve">Under FOIA, Section 43, Commercial Interests</w:t>
      </w:r>
      <w:r w:rsidDel="00000000" w:rsidR="00000000" w:rsidRPr="00000000">
        <w:rPr>
          <w:rtl w:val="0"/>
        </w:rPr>
      </w:r>
    </w:p>
    <w:p w:rsidR="00000000" w:rsidDel="00000000" w:rsidP="00000000" w:rsidRDefault="00000000" w:rsidRPr="00000000" w14:paraId="000000AB">
      <w:pPr>
        <w:spacing w:after="0" w:lineRule="auto"/>
        <w:ind w:left="0" w:firstLine="0"/>
        <w:jc w:val="left"/>
        <w:rPr>
          <w:sz w:val="24"/>
          <w:szCs w:val="24"/>
          <w:highlight w:val="yellow"/>
        </w:rPr>
      </w:pPr>
      <w:bookmarkStart w:colFirst="0" w:colLast="0" w:name="_heading=h.qsh70q" w:id="26"/>
      <w:bookmarkEnd w:id="26"/>
      <w:r w:rsidDel="00000000" w:rsidR="00000000" w:rsidRPr="00000000">
        <w:rPr>
          <w:rtl w:val="0"/>
        </w:rPr>
      </w:r>
    </w:p>
    <w:p w:rsidR="00000000" w:rsidDel="00000000" w:rsidP="00000000" w:rsidRDefault="00000000" w:rsidRPr="00000000" w14:paraId="000000AC">
      <w:pPr>
        <w:spacing w:after="0" w:lineRule="auto"/>
        <w:ind w:left="0" w:firstLine="0"/>
        <w:jc w:val="left"/>
        <w:rPr>
          <w:color w:val="ff0000"/>
        </w:rPr>
      </w:pPr>
      <w:r w:rsidDel="00000000" w:rsidR="00000000" w:rsidRPr="00000000">
        <w:rPr>
          <w:rtl w:val="0"/>
        </w:rPr>
      </w:r>
    </w:p>
    <w:p w:rsidR="00000000" w:rsidDel="00000000" w:rsidP="00000000" w:rsidRDefault="00000000" w:rsidRPr="00000000" w14:paraId="000000AD">
      <w:pPr>
        <w:spacing w:after="0" w:lineRule="auto"/>
        <w:ind w:left="0" w:firstLine="0"/>
        <w:jc w:val="left"/>
        <w:rPr>
          <w:color w:val="ff0000"/>
        </w:rPr>
      </w:pPr>
      <w:r w:rsidDel="00000000" w:rsidR="00000000" w:rsidRPr="00000000">
        <w:rPr>
          <w:color w:val="000000"/>
          <w:rtl w:val="0"/>
        </w:rPr>
        <w:t xml:space="preserve">Draft version of the GPA Security Management Plan attached please note </w:t>
      </w:r>
      <w:r w:rsidDel="00000000" w:rsidR="00000000" w:rsidRPr="00000000">
        <w:rPr>
          <w:color w:val="000000"/>
          <w:highlight w:val="white"/>
          <w:rtl w:val="0"/>
        </w:rPr>
        <w:t xml:space="preserve">the Buyer reserves the right to amend format at point of contract award.</w:t>
      </w:r>
      <w:r w:rsidDel="00000000" w:rsidR="00000000" w:rsidRPr="00000000">
        <w:rPr>
          <w:rtl w:val="0"/>
        </w:rPr>
      </w:r>
    </w:p>
    <w:p w:rsidR="00000000" w:rsidDel="00000000" w:rsidP="00000000" w:rsidRDefault="00000000" w:rsidRPr="00000000" w14:paraId="000000AE">
      <w:pPr>
        <w:spacing w:after="0" w:lineRule="auto"/>
        <w:ind w:left="0" w:firstLine="0"/>
        <w:jc w:val="left"/>
        <w:rPr>
          <w:color w:val="ff0000"/>
        </w:rPr>
      </w:pPr>
      <w:r w:rsidDel="00000000" w:rsidR="00000000" w:rsidRPr="00000000">
        <w:rPr>
          <w:rtl w:val="0"/>
        </w:rPr>
      </w:r>
    </w:p>
    <w:sectPr>
      <w:headerReference r:id="rId13" w:type="default"/>
      <w:footerReference r:id="rId14"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tabs>
        <w:tab w:val="center" w:pos="4513"/>
        <w:tab w:val="right" w:pos="9026"/>
      </w:tabs>
      <w:spacing w:after="0" w:lineRule="auto"/>
      <w:ind w:left="0" w:hanging="1418"/>
      <w:rPr/>
    </w:pPr>
    <w:r w:rsidDel="00000000" w:rsidR="00000000" w:rsidRPr="00000000">
      <w:rPr>
        <w:rtl w:val="0"/>
      </w:rPr>
      <w:t xml:space="preserve">     </w:t>
    </w:r>
  </w:p>
  <w:p w:rsidR="00000000" w:rsidDel="00000000" w:rsidP="00000000" w:rsidRDefault="00000000" w:rsidRPr="00000000" w14:paraId="000000B4">
    <w:pPr>
      <w:tabs>
        <w:tab w:val="center" w:pos="4513"/>
        <w:tab w:val="right" w:pos="9026"/>
      </w:tabs>
      <w:spacing w:after="0" w:lineRule="auto"/>
      <w:ind w:left="0" w:hanging="1418"/>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RM6168 - </w:t>
    </w:r>
    <w:r w:rsidDel="00000000" w:rsidR="00000000" w:rsidRPr="00000000">
      <w:rPr>
        <w:sz w:val="20"/>
        <w:szCs w:val="20"/>
        <w:rtl w:val="0"/>
      </w:rPr>
      <w:t xml:space="preserve">Estate</w:t>
    </w:r>
    <w:r w:rsidDel="00000000" w:rsidR="00000000" w:rsidRPr="00000000">
      <w:rPr>
        <w:color w:val="000000"/>
        <w:sz w:val="20"/>
        <w:szCs w:val="20"/>
        <w:rtl w:val="0"/>
      </w:rPr>
      <w:t xml:space="preserve"> Managem</w:t>
    </w:r>
    <w:r w:rsidDel="00000000" w:rsidR="00000000" w:rsidRPr="00000000">
      <w:rPr>
        <w:sz w:val="20"/>
        <w:szCs w:val="20"/>
        <w:rtl w:val="0"/>
      </w:rPr>
      <w:t xml:space="preserve">ent Services</w:t>
    </w:r>
    <w:r w:rsidDel="00000000" w:rsidR="00000000" w:rsidRPr="00000000">
      <w:rPr>
        <w:rtl w:val="0"/>
      </w:rPr>
    </w:r>
  </w:p>
  <w:p w:rsidR="00000000" w:rsidDel="00000000" w:rsidP="00000000" w:rsidRDefault="00000000" w:rsidRPr="00000000" w14:paraId="000000B5">
    <w:pPr>
      <w:tabs>
        <w:tab w:val="center" w:pos="4513"/>
        <w:tab w:val="right" w:pos="9026"/>
      </w:tabs>
      <w:spacing w:after="0" w:lineRule="auto"/>
      <w:ind w:left="0" w:hanging="1418"/>
      <w:jc w:val="left"/>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w:t>
    </w:r>
    <w:r w:rsidDel="00000000" w:rsidR="00000000" w:rsidRPr="00000000">
      <w:rPr>
        <w:rtl w:val="0"/>
      </w:rPr>
    </w:r>
  </w:p>
  <w:p w:rsidR="00000000" w:rsidDel="00000000" w:rsidP="00000000" w:rsidRDefault="00000000" w:rsidRPr="00000000" w14:paraId="000000B6">
    <w:pPr>
      <w:tabs>
        <w:tab w:val="center" w:pos="4513"/>
        <w:tab w:val="right" w:pos="9026"/>
      </w:tabs>
      <w:spacing w:after="0" w:lineRule="auto"/>
      <w:ind w:left="0" w:hanging="1418"/>
      <w:jc w:val="left"/>
      <w:rPr/>
    </w:pPr>
    <w:bookmarkStart w:colFirst="0" w:colLast="0" w:name="_heading=h.3as4poj" w:id="27"/>
    <w:bookmarkEnd w:id="27"/>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B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 CCBO21A04 </w:t>
    </w:r>
  </w:p>
  <w:p w:rsidR="00000000" w:rsidDel="00000000" w:rsidP="00000000" w:rsidRDefault="00000000" w:rsidRPr="00000000" w14:paraId="000000B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B2">
    <w:pPr>
      <w:tabs>
        <w:tab w:val="center" w:pos="4513"/>
        <w:tab w:val="right"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sz w:val="24"/>
        <w:szCs w:val="24"/>
        <w:u w:val="none"/>
        <w:vertAlign w:val="baseline"/>
      </w:rPr>
    </w:lvl>
    <w:lvl w:ilvl="3">
      <w:start w:val="1"/>
      <w:numFmt w:val="lowerLetter"/>
      <w:lvlText w:val="%4)"/>
      <w:lvlJc w:val="lef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b w:val="1"/>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sz w:val="24"/>
        <w:szCs w:val="24"/>
        <w:u w:val="none"/>
        <w:vertAlign w:val="baseline"/>
      </w:rPr>
    </w:lvl>
    <w:lvl w:ilvl="3">
      <w:start w:val="1"/>
      <w:numFmt w:val="lowerLetter"/>
      <w:lvlText w:val="%4)"/>
      <w:lvlJc w:val="lef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sz w:val="24"/>
        <w:szCs w:val="24"/>
      </w:rPr>
    </w:lvl>
    <w:lvl w:ilvl="1">
      <w:start w:val="1"/>
      <w:numFmt w:val="lowerLetter"/>
      <w:lvlText w:val="%2)"/>
      <w:lvlJc w:val="left"/>
      <w:pPr>
        <w:ind w:left="720" w:hanging="360"/>
      </w:pPr>
      <w:rPr>
        <w:b w:val="0"/>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0" w:before="240" w:lineRule="auto"/>
      <w:ind w:left="0"/>
      <w:jc w:val="left"/>
    </w:pPr>
    <w:rPr>
      <w:b w:val="1"/>
      <w:color w:val="000000"/>
      <w:sz w:val="20"/>
      <w:szCs w:val="2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40" w:lineRule="auto"/>
      <w:ind w:left="0"/>
      <w:jc w:val="left"/>
    </w:pPr>
    <w:rPr>
      <w:b w:val="1"/>
      <w:color w:val="000000"/>
      <w:sz w:val="20"/>
      <w:szCs w:val="20"/>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Rule="auto"/>
      <w:ind w:left="0"/>
    </w:pPr>
    <w:rPr>
      <w:rFonts w:ascii="Cambria" w:cs="Cambria" w:eastAsia="Cambria" w:hAnsi="Cambria"/>
      <w:b w:val="1"/>
      <w:color w:val="4f81bd"/>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0" w:before="200" w:lineRule="auto"/>
      <w:ind w:left="0"/>
    </w:pPr>
    <w:rPr>
      <w:rFonts w:ascii="Cambria" w:cs="Cambria" w:eastAsia="Cambria" w:hAnsi="Cambria"/>
      <w:b w:val="1"/>
      <w:i w:val="1"/>
      <w:color w:val="4f81bd"/>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ind w:left="1008" w:hanging="432"/>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ind w:left="1152" w:hanging="432"/>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ind w:left="0"/>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0" w:before="240"/>
      <w:ind w:left="0"/>
      <w:jc w:val="left"/>
      <w:outlineLvl w:val="0"/>
    </w:pPr>
    <w:rPr>
      <w:b w:val="1"/>
      <w:color w:val="000000"/>
      <w:sz w:val="20"/>
      <w:szCs w:val="20"/>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240"/>
      <w:ind w:left="0"/>
      <w:jc w:val="left"/>
      <w:outlineLvl w:val="1"/>
    </w:pPr>
    <w:rPr>
      <w:b w:val="1"/>
      <w:color w:val="000000"/>
      <w:sz w:val="20"/>
      <w:szCs w:val="20"/>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200"/>
      <w:ind w:left="0"/>
      <w:outlineLvl w:val="2"/>
    </w:pPr>
    <w:rPr>
      <w:rFonts w:ascii="Cambria" w:cs="Cambria" w:eastAsia="Cambria" w:hAnsi="Cambria"/>
      <w:b w:val="1"/>
      <w:color w:val="4f81bd"/>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200"/>
      <w:ind w:left="0"/>
      <w:outlineLvl w:val="3"/>
    </w:pPr>
    <w:rPr>
      <w:rFonts w:ascii="Cambria" w:cs="Cambria" w:eastAsia="Cambria" w:hAnsi="Cambria"/>
      <w:b w:val="1"/>
      <w:i w:val="1"/>
      <w:color w:val="4f81bd"/>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20"/>
      <w:ind w:left="1008" w:hanging="432"/>
      <w:outlineLvl w:val="4"/>
    </w:pPr>
    <w:rPr>
      <w:b w:val="1"/>
      <w:color w:val="000000"/>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00"/>
      <w:ind w:left="1152" w:hanging="432"/>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ind w:left="0"/>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ind w:left="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character" w:styleId="Hyperlink">
    <w:name w:val="Hyperlink"/>
    <w:basedOn w:val="DefaultParagraphFont"/>
    <w:uiPriority w:val="99"/>
    <w:semiHidden w:val="1"/>
    <w:unhideWhenUsed w:val="1"/>
    <w:rsid w:val="00F40BF3"/>
    <w:rPr>
      <w:color w:val="0000ff"/>
      <w:u w:val="single"/>
    </w:rPr>
  </w:style>
  <w:style w:type="table" w:styleId="a1" w:customStyle="1">
    <w:basedOn w:val="TableNormal"/>
    <w:tblPr>
      <w:tblStyleRowBandSize w:val="1"/>
      <w:tblStyleColBandSize w:val="1"/>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Header">
    <w:name w:val="header"/>
    <w:basedOn w:val="Normal"/>
    <w:link w:val="HeaderChar"/>
    <w:uiPriority w:val="99"/>
    <w:unhideWhenUsed w:val="1"/>
    <w:rsid w:val="00A837C1"/>
    <w:pPr>
      <w:tabs>
        <w:tab w:val="center" w:pos="4513"/>
        <w:tab w:val="right" w:pos="9026"/>
      </w:tabs>
      <w:spacing w:after="0"/>
    </w:pPr>
  </w:style>
  <w:style w:type="character" w:styleId="HeaderChar" w:customStyle="1">
    <w:name w:val="Header Char"/>
    <w:basedOn w:val="DefaultParagraphFont"/>
    <w:link w:val="Header"/>
    <w:uiPriority w:val="99"/>
    <w:rsid w:val="00A837C1"/>
  </w:style>
  <w:style w:type="paragraph" w:styleId="Footer">
    <w:name w:val="footer"/>
    <w:basedOn w:val="Normal"/>
    <w:link w:val="FooterChar"/>
    <w:uiPriority w:val="99"/>
    <w:unhideWhenUsed w:val="1"/>
    <w:rsid w:val="00A837C1"/>
    <w:pPr>
      <w:tabs>
        <w:tab w:val="center" w:pos="4513"/>
        <w:tab w:val="right" w:pos="9026"/>
      </w:tabs>
      <w:spacing w:after="0"/>
    </w:pPr>
  </w:style>
  <w:style w:type="character" w:styleId="FooterChar" w:customStyle="1">
    <w:name w:val="Footer Char"/>
    <w:basedOn w:val="DefaultParagraphFont"/>
    <w:link w:val="Footer"/>
    <w:uiPriority w:val="99"/>
    <w:rsid w:val="00A837C1"/>
  </w:style>
  <w:style w:type="paragraph" w:styleId="BalloonText">
    <w:name w:val="Balloon Text"/>
    <w:basedOn w:val="Normal"/>
    <w:link w:val="BalloonTextChar"/>
    <w:uiPriority w:val="99"/>
    <w:semiHidden w:val="1"/>
    <w:unhideWhenUsed w:val="1"/>
    <w:rsid w:val="00A837C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837C1"/>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A837C1"/>
    <w:rPr>
      <w:b w:val="1"/>
      <w:bCs w:val="1"/>
    </w:rPr>
  </w:style>
  <w:style w:type="character" w:styleId="CommentSubjectChar" w:customStyle="1">
    <w:name w:val="Comment Subject Char"/>
    <w:basedOn w:val="CommentTextChar"/>
    <w:link w:val="CommentSubject"/>
    <w:uiPriority w:val="99"/>
    <w:semiHidden w:val="1"/>
    <w:rsid w:val="00A837C1"/>
    <w:rPr>
      <w:b w:val="1"/>
      <w:bCs w:val="1"/>
      <w:sz w:val="20"/>
      <w:szCs w:val="20"/>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guidance/end-user-device-security" TargetMode="External"/><Relationship Id="rId10" Type="http://schemas.openxmlformats.org/officeDocument/2006/relationships/hyperlink" Target="https://www.ncsc.gov.uk/articles/hmg-ia-maturity-model-iamm" TargetMode="External"/><Relationship Id="rId13" Type="http://schemas.openxmlformats.org/officeDocument/2006/relationships/header" Target="header1.xml"/><Relationship Id="rId12" Type="http://schemas.openxmlformats.org/officeDocument/2006/relationships/hyperlink" Target="https://www.ncsc.gov.uk/section/products-services/ncsc-certificati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ecurity@gpa.gov.uk" TargetMode="External"/><Relationship Id="rId8" Type="http://schemas.openxmlformats.org/officeDocument/2006/relationships/hyperlink" Target="https://www.gov.uk/government/publications/security-policy-framework/hmg-security-policy-framewor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LGE6QXpBBcGsALDs24BX+eIglw==">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2022-12-16T13:21:00Z</dcterms:created>
  <dc:creator>Kelly Hughes</dc:creator>
</cp:coreProperties>
</file>